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16" w:rsidRPr="00A66016" w:rsidRDefault="00A66016" w:rsidP="00A66016">
      <w:pPr>
        <w:keepNext/>
        <w:keepLines/>
        <w:spacing w:before="240" w:after="0"/>
        <w:outlineLvl w:val="2"/>
        <w:rPr>
          <w:rFonts w:asciiTheme="majorHAnsi" w:eastAsia="Times New Roman" w:hAnsiTheme="majorHAnsi" w:cstheme="majorBidi"/>
          <w:b/>
          <w:color w:val="00A1E0" w:themeColor="accent3"/>
          <w:sz w:val="24"/>
          <w:szCs w:val="24"/>
        </w:rPr>
      </w:pPr>
      <w:r w:rsidRPr="00A66016">
        <w:rPr>
          <w:rFonts w:asciiTheme="majorHAnsi" w:eastAsia="Times New Roman" w:hAnsiTheme="majorHAnsi" w:cstheme="majorBidi"/>
          <w:b/>
          <w:color w:val="00A1E0" w:themeColor="accent3"/>
          <w:sz w:val="24"/>
          <w:szCs w:val="24"/>
        </w:rPr>
        <w:t>Obecné požadavky Správy železnic, státní organizace na ochranu staveb před hlukem ze železniční dopravy a zpracování hlukového posouzení</w:t>
      </w:r>
    </w:p>
    <w:p w:rsidR="00A66016" w:rsidRPr="00A66016" w:rsidRDefault="00A66016" w:rsidP="00A66016">
      <w:pPr>
        <w:spacing w:after="0"/>
        <w:jc w:val="center"/>
        <w:rPr>
          <w:rFonts w:ascii="Verdana" w:eastAsia="Verdana" w:hAnsi="Verdana" w:cs="Arial"/>
          <w:b/>
          <w:color w:val="000000"/>
          <w:sz w:val="20"/>
          <w:szCs w:val="20"/>
        </w:rPr>
      </w:pPr>
    </w:p>
    <w:p w:rsidR="00A66016" w:rsidRPr="00A66016" w:rsidRDefault="00A66016" w:rsidP="00A66016">
      <w:pPr>
        <w:keepLines/>
        <w:numPr>
          <w:ilvl w:val="1"/>
          <w:numId w:val="0"/>
        </w:numPr>
        <w:suppressAutoHyphens/>
        <w:spacing w:after="160"/>
        <w:rPr>
          <w:rFonts w:eastAsiaTheme="minorEastAsia"/>
          <w:iCs/>
          <w:color w:val="00A1E0" w:themeColor="accent3"/>
          <w:sz w:val="22"/>
          <w:szCs w:val="22"/>
        </w:rPr>
      </w:pPr>
      <w:r w:rsidRPr="00A66016">
        <w:rPr>
          <w:rFonts w:eastAsiaTheme="minorEastAsia"/>
          <w:iCs/>
          <w:color w:val="00A1E0" w:themeColor="accent3"/>
          <w:sz w:val="22"/>
          <w:szCs w:val="22"/>
        </w:rPr>
        <w:t>Náležitosti předložené dokumentace - informace pro stavebníky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 w:rsidRPr="00A66016">
        <w:rPr>
          <w:rFonts w:ascii="Verdana" w:eastAsia="Verdana" w:hAnsi="Verdana" w:cs="Arial"/>
          <w:color w:val="000000"/>
        </w:rPr>
        <w:t xml:space="preserve">Pro vydání souhrnného stanoviska </w:t>
      </w:r>
      <w:r w:rsidRPr="00A66016">
        <w:rPr>
          <w:rFonts w:eastAsia="Times New Roman"/>
        </w:rPr>
        <w:t>Správy železnic, státní organizace</w:t>
      </w:r>
      <w:r w:rsidRPr="00A66016">
        <w:rPr>
          <w:rFonts w:ascii="Verdana" w:eastAsia="Verdana" w:hAnsi="Verdana" w:cs="Arial"/>
          <w:color w:val="000000"/>
        </w:rPr>
        <w:t xml:space="preserve"> ke stavbám trvalého bydlení, předškolní a školní výchovy a vzdělávání, zdravotních a sociálních služeb, jakož i stavbám funkčně obdobným, musí být předloženo hlukové posouzení budoucího objektu, využití pozemku apod. v dané lokalitě (již k dokumentaci pro územní řízení) </w:t>
      </w:r>
      <w:r w:rsidRPr="00A66016">
        <w:rPr>
          <w:rFonts w:ascii="Verdana" w:eastAsia="Verdana" w:hAnsi="Verdana" w:cs="Arial"/>
          <w:b/>
          <w:color w:val="000000"/>
        </w:rPr>
        <w:t>zpracované na základě měření hluku</w:t>
      </w:r>
      <w:r w:rsidRPr="00A66016">
        <w:rPr>
          <w:rFonts w:ascii="Verdana" w:eastAsia="Verdana" w:hAnsi="Verdana" w:cs="Arial"/>
          <w:color w:val="000000"/>
        </w:rPr>
        <w:t xml:space="preserve">. 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 w:rsidRPr="00A66016">
        <w:rPr>
          <w:rFonts w:ascii="Verdana" w:eastAsia="Verdana" w:hAnsi="Verdana" w:cs="Arial"/>
          <w:color w:val="000000"/>
        </w:rPr>
        <w:t xml:space="preserve">Posouzení hluku podléhají stavby a prostory dle § 30, odst. 3 zákona č. 258/2000 Sb., o ochraně veřejného zdraví, umisťované do ochranného pásma tratí celostátních, tratí zařazených do systému TEN-T a tratí regionálních s pravidelným provozem nákladní dopravy, a dále stavby a prostory s přímou viditelností na trať. Kategorizace tratí viz mapa </w:t>
      </w:r>
      <w:r w:rsidRPr="00A66016">
        <w:rPr>
          <w:rFonts w:ascii="Verdana" w:eastAsia="Verdana" w:hAnsi="Verdana" w:cs="Arial"/>
          <w:i/>
          <w:color w:val="000000"/>
        </w:rPr>
        <w:t>„Kategorie drah, provozovatelé drah“</w:t>
      </w:r>
      <w:r w:rsidRPr="00A66016">
        <w:rPr>
          <w:rFonts w:ascii="Verdana" w:eastAsia="Verdana" w:hAnsi="Verdana" w:cs="Arial"/>
          <w:color w:val="000000"/>
        </w:rPr>
        <w:t xml:space="preserve"> umístěná na webu S</w:t>
      </w:r>
      <w:r w:rsidR="00207BD8">
        <w:rPr>
          <w:rFonts w:ascii="Verdana" w:eastAsia="Verdana" w:hAnsi="Verdana" w:cs="Arial"/>
          <w:color w:val="000000"/>
        </w:rPr>
        <w:t>právy železnic, státní organizace</w:t>
      </w:r>
      <w:r w:rsidRPr="00A66016">
        <w:rPr>
          <w:rFonts w:ascii="Verdana" w:eastAsia="Verdana" w:hAnsi="Verdana" w:cs="Arial"/>
          <w:color w:val="000000"/>
        </w:rPr>
        <w:t xml:space="preserve"> v sekci O nás -&gt; Železniční mapy ČR nebo </w:t>
      </w:r>
      <w:hyperlink r:id="rId11" w:history="1">
        <w:r w:rsidRPr="00A66016">
          <w:rPr>
            <w:rFonts w:ascii="Verdana" w:eastAsia="Verdana" w:hAnsi="Verdana" w:cs="Arial"/>
            <w:i/>
            <w:color w:val="0563C1" w:themeColor="hyperlink"/>
            <w:u w:val="single"/>
          </w:rPr>
          <w:t>http://provoz.s</w:t>
        </w:r>
        <w:r w:rsidR="00B325C7">
          <w:rPr>
            <w:rFonts w:ascii="Verdana" w:eastAsia="Verdana" w:hAnsi="Verdana" w:cs="Arial"/>
            <w:i/>
            <w:color w:val="0563C1" w:themeColor="hyperlink"/>
            <w:u w:val="single"/>
          </w:rPr>
          <w:t>pravazeleznic</w:t>
        </w:r>
        <w:bookmarkStart w:id="0" w:name="_GoBack"/>
        <w:bookmarkEnd w:id="0"/>
        <w:r w:rsidRPr="00A66016">
          <w:rPr>
            <w:rFonts w:ascii="Verdana" w:eastAsia="Verdana" w:hAnsi="Verdana" w:cs="Arial"/>
            <w:i/>
            <w:color w:val="0563C1" w:themeColor="hyperlink"/>
            <w:u w:val="single"/>
          </w:rPr>
          <w:t>.cz/PORTAL/ViewArticle.aspx?oid=594598</w:t>
        </w:r>
      </w:hyperlink>
      <w:r w:rsidRPr="00A66016">
        <w:rPr>
          <w:rFonts w:ascii="Verdana" w:eastAsia="Verdana" w:hAnsi="Verdana" w:cs="Arial"/>
          <w:color w:val="000000"/>
        </w:rPr>
        <w:t xml:space="preserve">. 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iCs/>
          <w:color w:val="000000"/>
          <w:u w:val="single"/>
        </w:rPr>
      </w:pP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 w:rsidRPr="00A66016">
        <w:rPr>
          <w:rFonts w:ascii="Verdana" w:eastAsia="Verdana" w:hAnsi="Verdana"/>
        </w:rPr>
        <w:t xml:space="preserve">V případě zjištění vyšších hladin hluku než povolují hygienické limity stanovené </w:t>
      </w:r>
      <w:r w:rsidRPr="00A66016">
        <w:rPr>
          <w:rFonts w:ascii="Verdana" w:eastAsia="Verdana" w:hAnsi="Verdana" w:cs="Arial"/>
          <w:color w:val="000000"/>
        </w:rPr>
        <w:t xml:space="preserve">nařízením vlády č. 272/2011 Sb., o ochraně zdraví před nepříznivými účinky hluku a vibrací, ve znění pozdějších předpisů, musí být </w:t>
      </w:r>
      <w:r w:rsidRPr="00A66016">
        <w:rPr>
          <w:rFonts w:ascii="Verdana" w:eastAsia="Verdana" w:hAnsi="Verdana" w:cs="Arial"/>
          <w:b/>
          <w:color w:val="000000"/>
        </w:rPr>
        <w:t>v předložené dokumentaci zapracován návrh protihlukových opatření</w:t>
      </w:r>
      <w:r w:rsidRPr="00A66016">
        <w:rPr>
          <w:rFonts w:ascii="Verdana" w:eastAsia="Verdana" w:hAnsi="Verdana" w:cs="Arial"/>
          <w:color w:val="000000"/>
        </w:rPr>
        <w:t xml:space="preserve"> v takovém rozsahu, aby po realizaci stavby k překračování hygienických limitů hluku nedocházelo.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 w:rsidRPr="00A66016">
        <w:rPr>
          <w:rFonts w:ascii="Verdana" w:eastAsia="Verdana" w:hAnsi="Verdana" w:cs="Arial"/>
          <w:color w:val="000000"/>
        </w:rPr>
        <w:t xml:space="preserve">Bude-li v rámci stavby zajištěno přímé větrání obytných místností a jiných chráněných vnitřních prostor nuceně, prostřednictvím lokální nebo centrální vzduchotechniky, předložení hlukového posouzení nevyžadujeme – toto opatření je zpravidla považováno za dostatečnou ochranu objektu před hlukem.  Obdobně lze postupovat, budou-li vnitřní chráněné prostory stavby větrány přirozeně z jednoznačně podlimitně exponované fasády (situované např. do vnitrobloku domu nebo na stranu odvrácenou od zdroje hluku). 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 w:rsidRPr="00A66016">
        <w:rPr>
          <w:rFonts w:ascii="Verdana" w:eastAsia="Verdana" w:hAnsi="Verdana" w:cs="Arial"/>
          <w:color w:val="000000"/>
        </w:rPr>
        <w:t>Při rozhodování, zda je nutné objekt vybavit prvky protihlukové ochrany, doporučujeme seznámit se před provedením měření hluku s výsledky strategického hlukového mapování (SHM), které jsou zveřejněny na webovém portálu Ministerstva zdravotnictví ČR (</w:t>
      </w:r>
      <w:hyperlink r:id="rId12" w:history="1">
        <w:r w:rsidRPr="00A66016">
          <w:rPr>
            <w:rFonts w:ascii="Verdana" w:eastAsia="Verdana" w:hAnsi="Verdana" w:cs="Arial"/>
            <w:i/>
            <w:color w:val="0563C1" w:themeColor="hyperlink"/>
            <w:u w:val="single"/>
          </w:rPr>
          <w:t>https://geoportal.mzcr.cz/SHM</w:t>
        </w:r>
      </w:hyperlink>
      <w:r w:rsidRPr="00A66016">
        <w:rPr>
          <w:rFonts w:ascii="Verdana" w:eastAsia="Verdana" w:hAnsi="Verdana" w:cs="Arial"/>
          <w:color w:val="000000"/>
        </w:rPr>
        <w:t xml:space="preserve">). Bylo-li v daném úseku trati SHM provedeno (jedná se o vytížené tratě) a ukazují-li výsledky v daném místě na nadlimitní hlukovou zátěž (s přičtením nejistoty 5 dB), zvažte provedení výše uvedených opatření před investicí do měření. </w:t>
      </w:r>
    </w:p>
    <w:p w:rsidR="00A66016" w:rsidRPr="00A66016" w:rsidRDefault="00A66016" w:rsidP="00A66016">
      <w:pPr>
        <w:spacing w:after="0"/>
        <w:rPr>
          <w:rFonts w:ascii="Verdana" w:eastAsia="Verdana" w:hAnsi="Verdana" w:cs="Arial"/>
          <w:color w:val="000000"/>
        </w:rPr>
      </w:pPr>
    </w:p>
    <w:p w:rsidR="00A66016" w:rsidRPr="00903FA6" w:rsidRDefault="00A66016" w:rsidP="00A66016">
      <w:pPr>
        <w:spacing w:after="0"/>
        <w:rPr>
          <w:rFonts w:ascii="Verdana" w:eastAsia="Verdana" w:hAnsi="Verdana" w:cs="Arial"/>
          <w:i/>
          <w:iCs/>
          <w:color w:val="000000"/>
        </w:rPr>
      </w:pPr>
      <w:r w:rsidRPr="00A66016">
        <w:rPr>
          <w:rFonts w:ascii="Verdana" w:eastAsia="Verdana" w:hAnsi="Verdana" w:cs="Arial"/>
          <w:i/>
          <w:iCs/>
          <w:color w:val="000000"/>
        </w:rPr>
        <w:t xml:space="preserve">Poznámka: </w:t>
      </w:r>
      <w:r>
        <w:rPr>
          <w:rFonts w:ascii="Verdana" w:eastAsia="Verdana" w:hAnsi="Verdana" w:cs="Arial"/>
          <w:i/>
          <w:iCs/>
          <w:color w:val="000000"/>
        </w:rPr>
        <w:t>Správa železnic, státní organizace</w:t>
      </w:r>
      <w:r w:rsidRPr="00A66016">
        <w:rPr>
          <w:rFonts w:ascii="Verdana" w:eastAsia="Verdana" w:hAnsi="Verdana" w:cs="Arial"/>
          <w:i/>
          <w:iCs/>
          <w:color w:val="000000"/>
        </w:rPr>
        <w:t xml:space="preserve"> si vyhrazuje právo požadovat předložení hlukového posouzení i pro jiné než</w:t>
      </w:r>
      <w:r>
        <w:rPr>
          <w:rFonts w:ascii="Verdana" w:eastAsia="Verdana" w:hAnsi="Verdana" w:cs="Arial"/>
          <w:i/>
          <w:iCs/>
          <w:color w:val="000000"/>
        </w:rPr>
        <w:t xml:space="preserve"> zde vymezené případy</w:t>
      </w:r>
      <w:r w:rsidRPr="00903FA6">
        <w:rPr>
          <w:rFonts w:ascii="Verdana" w:eastAsia="Verdana" w:hAnsi="Verdana" w:cs="Arial"/>
          <w:i/>
          <w:iCs/>
          <w:color w:val="000000"/>
        </w:rPr>
        <w:t>.</w:t>
      </w:r>
    </w:p>
    <w:p w:rsidR="00A66016" w:rsidRDefault="00A66016" w:rsidP="00A66016">
      <w:pPr>
        <w:pStyle w:val="Podnadpis"/>
        <w:rPr>
          <w:rStyle w:val="Zdraznn"/>
        </w:rPr>
      </w:pPr>
    </w:p>
    <w:p w:rsidR="00A66016" w:rsidRPr="004A7144" w:rsidRDefault="00A66016" w:rsidP="00A66016">
      <w:pPr>
        <w:pStyle w:val="Podnadpis"/>
        <w:rPr>
          <w:rStyle w:val="Zdraznn"/>
        </w:rPr>
      </w:pPr>
      <w:r w:rsidRPr="004A7144">
        <w:rPr>
          <w:rStyle w:val="Zdraznn"/>
        </w:rPr>
        <w:t>Náležitosti hlukového posouzení - informace pro zpracovatele</w:t>
      </w:r>
    </w:p>
    <w:p w:rsidR="00A66016" w:rsidRPr="002E1BD1" w:rsidRDefault="00A66016" w:rsidP="00A66016">
      <w:pPr>
        <w:spacing w:after="0"/>
        <w:rPr>
          <w:rFonts w:ascii="Verdana" w:eastAsia="Verdana" w:hAnsi="Verdana" w:cs="Arial"/>
          <w:color w:val="000000"/>
        </w:rPr>
      </w:pPr>
      <w:r>
        <w:rPr>
          <w:rFonts w:ascii="Verdana" w:eastAsia="Verdana" w:hAnsi="Verdana"/>
        </w:rPr>
        <w:t xml:space="preserve">Hlukové posouzení musí být zpracované na základě měření hluku </w:t>
      </w:r>
      <w:r w:rsidRPr="002E1BD1">
        <w:rPr>
          <w:rFonts w:ascii="Verdana" w:eastAsia="Verdana" w:hAnsi="Verdana" w:cs="Arial"/>
          <w:color w:val="000000"/>
        </w:rPr>
        <w:t>provedeného odborně způsobilou osobou dle  § 83c zákona č. 258/2000 Sb., o ochraně veřejného zdraví, zahrnující v odůvodněných případech i měření vibrací.</w:t>
      </w:r>
    </w:p>
    <w:p w:rsidR="00A66016" w:rsidRDefault="00A66016" w:rsidP="00A66016">
      <w:pPr>
        <w:spacing w:after="0"/>
        <w:rPr>
          <w:rFonts w:ascii="Verdana" w:eastAsia="Verdana" w:hAnsi="Verdana"/>
        </w:rPr>
      </w:pP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  <w:r>
        <w:rPr>
          <w:rFonts w:ascii="Verdana" w:eastAsia="Verdana" w:hAnsi="Verdana"/>
        </w:rPr>
        <w:lastRenderedPageBreak/>
        <w:t>P</w:t>
      </w:r>
      <w:r w:rsidRPr="002E1BD1">
        <w:rPr>
          <w:rFonts w:ascii="Verdana" w:eastAsia="Verdana" w:hAnsi="Verdana"/>
        </w:rPr>
        <w:t>ostup měření musí být podřízen snaze stanovit v</w:t>
      </w:r>
      <w:r>
        <w:rPr>
          <w:rFonts w:ascii="Verdana" w:eastAsia="Verdana" w:hAnsi="Verdana"/>
        </w:rPr>
        <w:t xml:space="preserve"> hodnoceném</w:t>
      </w:r>
      <w:r w:rsidRPr="002E1BD1">
        <w:rPr>
          <w:rFonts w:ascii="Verdana" w:eastAsia="Verdana" w:hAnsi="Verdana"/>
        </w:rPr>
        <w:t xml:space="preserve"> chráněném venkovním prostoru stav</w:t>
      </w:r>
      <w:r>
        <w:rPr>
          <w:rFonts w:ascii="Verdana" w:eastAsia="Verdana" w:hAnsi="Verdana"/>
        </w:rPr>
        <w:t>by</w:t>
      </w:r>
      <w:r w:rsidRPr="002E1BD1">
        <w:rPr>
          <w:rFonts w:ascii="Verdana" w:eastAsia="Verdana" w:hAnsi="Verdana"/>
        </w:rPr>
        <w:t xml:space="preserve"> celoročně průměrný účinek (imisi) hluku výhradně z železniční dopravy.</w:t>
      </w:r>
      <w:r>
        <w:rPr>
          <w:rFonts w:ascii="Verdana" w:eastAsia="Verdana" w:hAnsi="Verdana"/>
        </w:rPr>
        <w:t xml:space="preserve"> </w:t>
      </w:r>
      <w:r w:rsidRPr="002E1BD1">
        <w:rPr>
          <w:rFonts w:ascii="Verdana" w:eastAsia="Verdana" w:hAnsi="Verdana"/>
        </w:rPr>
        <w:t xml:space="preserve">Z tohoto důvodu je preferována metoda stanovení celkové ekvivalentní hladiny akustického tlaku </w:t>
      </w:r>
      <w:bookmarkStart w:id="1" w:name="OLE_LINK17"/>
      <w:bookmarkStart w:id="2" w:name="OLE_LINK16"/>
      <w:proofErr w:type="spellStart"/>
      <w:r w:rsidRPr="002E1BD1">
        <w:rPr>
          <w:rFonts w:ascii="Verdana" w:eastAsia="Verdana" w:hAnsi="Verdana"/>
          <w:i/>
        </w:rPr>
        <w:t>L</w:t>
      </w:r>
      <w:r w:rsidRPr="002E1BD1">
        <w:rPr>
          <w:rFonts w:ascii="Verdana" w:eastAsia="Verdana" w:hAnsi="Verdana"/>
          <w:vertAlign w:val="subscript"/>
        </w:rPr>
        <w:t>Aeq,</w:t>
      </w:r>
      <w:r w:rsidRPr="002E1BD1">
        <w:rPr>
          <w:rFonts w:ascii="Verdana" w:eastAsia="Verdana" w:hAnsi="Verdana"/>
          <w:i/>
          <w:vertAlign w:val="subscript"/>
        </w:rPr>
        <w:t>T</w:t>
      </w:r>
      <w:proofErr w:type="spellEnd"/>
      <w:r w:rsidRPr="002E1BD1">
        <w:rPr>
          <w:rFonts w:ascii="Verdana" w:eastAsia="Verdana" w:hAnsi="Verdana"/>
          <w:vertAlign w:val="subscript"/>
        </w:rPr>
        <w:t xml:space="preserve"> </w:t>
      </w:r>
      <w:r w:rsidRPr="002E1BD1">
        <w:rPr>
          <w:rFonts w:ascii="Verdana" w:eastAsia="Verdana" w:hAnsi="Verdana"/>
        </w:rPr>
        <w:t>[dB]</w:t>
      </w:r>
      <w:bookmarkEnd w:id="1"/>
      <w:bookmarkEnd w:id="2"/>
      <w:r w:rsidRPr="002E1BD1">
        <w:rPr>
          <w:rFonts w:ascii="Verdana" w:eastAsia="Verdana" w:hAnsi="Verdana"/>
        </w:rPr>
        <w:t xml:space="preserve"> dopočtem z charakteristických (energeticky průměrných) </w:t>
      </w:r>
      <w:bookmarkStart w:id="3" w:name="OLE_LINK15"/>
      <w:bookmarkStart w:id="4" w:name="OLE_LINK14"/>
      <w:r w:rsidRPr="002E1BD1">
        <w:rPr>
          <w:rFonts w:ascii="Verdana" w:eastAsia="Verdana" w:hAnsi="Verdana"/>
        </w:rPr>
        <w:t>hladin expozic</w:t>
      </w:r>
      <w:r>
        <w:rPr>
          <w:rFonts w:ascii="Verdana" w:eastAsia="Verdana" w:hAnsi="Verdana"/>
        </w:rPr>
        <w:t>e</w:t>
      </w:r>
      <w:r w:rsidRPr="002E1BD1">
        <w:rPr>
          <w:rFonts w:ascii="Verdana" w:eastAsia="Verdana" w:hAnsi="Verdana"/>
        </w:rPr>
        <w:t xml:space="preserve"> zvuku </w:t>
      </w:r>
      <w:r w:rsidRPr="002E1BD1">
        <w:rPr>
          <w:rFonts w:ascii="Verdana" w:eastAsia="Verdana" w:hAnsi="Verdana"/>
          <w:i/>
        </w:rPr>
        <w:t>L</w:t>
      </w:r>
      <w:r w:rsidRPr="002E1BD1">
        <w:rPr>
          <w:rFonts w:ascii="Verdana" w:eastAsia="Verdana" w:hAnsi="Verdana"/>
          <w:vertAlign w:val="subscript"/>
        </w:rPr>
        <w:t xml:space="preserve">AE </w:t>
      </w:r>
      <w:r w:rsidRPr="002E1BD1">
        <w:rPr>
          <w:rFonts w:ascii="Verdana" w:eastAsia="Verdana" w:hAnsi="Verdana"/>
        </w:rPr>
        <w:t xml:space="preserve">[dB] </w:t>
      </w:r>
      <w:bookmarkEnd w:id="3"/>
      <w:bookmarkEnd w:id="4"/>
      <w:r w:rsidRPr="002E1BD1">
        <w:rPr>
          <w:rFonts w:ascii="Verdana" w:eastAsia="Verdana" w:hAnsi="Verdana"/>
        </w:rPr>
        <w:t xml:space="preserve">odpovídajících jednotlivým kategoriím vlaků (nebo provozních režimů vlaků) </w:t>
      </w:r>
      <w:r>
        <w:rPr>
          <w:rFonts w:ascii="Verdana" w:eastAsia="Verdana" w:hAnsi="Verdana"/>
        </w:rPr>
        <w:t>pro</w:t>
      </w:r>
      <w:r w:rsidRPr="002E1BD1">
        <w:rPr>
          <w:rFonts w:ascii="Verdana" w:eastAsia="Verdana" w:hAnsi="Verdana"/>
        </w:rPr>
        <w:t xml:space="preserve"> roční průměrn</w:t>
      </w:r>
      <w:r>
        <w:rPr>
          <w:rFonts w:ascii="Verdana" w:eastAsia="Verdana" w:hAnsi="Verdana"/>
        </w:rPr>
        <w:t>ý</w:t>
      </w:r>
      <w:r w:rsidRPr="002E1BD1">
        <w:rPr>
          <w:rFonts w:ascii="Verdana" w:eastAsia="Verdana" w:hAnsi="Verdana"/>
        </w:rPr>
        <w:t xml:space="preserve"> denní poč</w:t>
      </w:r>
      <w:r>
        <w:rPr>
          <w:rFonts w:ascii="Verdana" w:eastAsia="Verdana" w:hAnsi="Verdana"/>
        </w:rPr>
        <w:t>et</w:t>
      </w:r>
      <w:r w:rsidRPr="002E1BD1">
        <w:rPr>
          <w:rFonts w:ascii="Verdana" w:eastAsia="Verdana" w:hAnsi="Verdana"/>
        </w:rPr>
        <w:t xml:space="preserve"> těchto vlaků vyskytujících se na hodnoceném úseku tratě ve sledované časové periodě podle vztahu (1).</w:t>
      </w:r>
    </w:p>
    <w:p w:rsidR="00A66016" w:rsidRPr="002E1BD1" w:rsidRDefault="00A66016" w:rsidP="00A66016">
      <w:pPr>
        <w:spacing w:after="0"/>
        <w:ind w:firstLine="708"/>
        <w:rPr>
          <w:rFonts w:ascii="Verdana" w:eastAsia="Times New Roman" w:hAnsi="Verdana"/>
        </w:rPr>
      </w:pPr>
      <w:r w:rsidRPr="002E1BD1">
        <w:rPr>
          <w:rFonts w:ascii="Verdana" w:eastAsia="Times New Roman" w:hAnsi="Verdana"/>
        </w:rPr>
        <w:tab/>
      </w:r>
    </w:p>
    <w:tbl>
      <w:tblPr>
        <w:tblStyle w:val="Mkatabulky"/>
        <w:tblW w:w="87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709"/>
      </w:tblGrid>
      <w:tr w:rsidR="00A66016" w:rsidRPr="002E1BD1" w:rsidTr="008B5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16" w:rsidRPr="002E1BD1" w:rsidRDefault="00A66016" w:rsidP="008B5E9C">
            <w:pPr>
              <w:spacing w:line="264" w:lineRule="auto"/>
              <w:jc w:val="center"/>
              <w:rPr>
                <w:rFonts w:ascii="Verdana" w:eastAsia="Times New Roman" w:hAnsi="Verdana"/>
                <w:sz w:val="18"/>
              </w:rPr>
            </w:pPr>
            <w:r>
              <w:rPr>
                <w:rFonts w:ascii="Verdana" w:eastAsia="Times New Roman" w:hAnsi="Verdana"/>
                <w:noProof/>
                <w:lang w:eastAsia="cs-CZ"/>
              </w:rPr>
              <w:drawing>
                <wp:inline distT="0" distB="0" distL="0" distR="0" wp14:anchorId="370D32FF" wp14:editId="106A3F59">
                  <wp:extent cx="2228850" cy="555067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55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16" w:rsidRPr="002E1BD1" w:rsidRDefault="00A66016" w:rsidP="008B5E9C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</w:rPr>
            </w:pPr>
            <w:r w:rsidRPr="002E1BD1">
              <w:rPr>
                <w:rFonts w:ascii="Verdana" w:eastAsia="Times New Roman" w:hAnsi="Verdana"/>
                <w:sz w:val="18"/>
              </w:rPr>
              <w:t>(1)</w:t>
            </w:r>
          </w:p>
        </w:tc>
      </w:tr>
    </w:tbl>
    <w:p w:rsidR="00A66016" w:rsidRPr="002E1BD1" w:rsidRDefault="00A66016" w:rsidP="00A66016">
      <w:pPr>
        <w:spacing w:after="0"/>
        <w:ind w:firstLine="708"/>
        <w:rPr>
          <w:rFonts w:ascii="Verdana" w:eastAsia="Verdana" w:hAnsi="Verdana"/>
        </w:rPr>
      </w:pPr>
      <w:r w:rsidRPr="002E1BD1">
        <w:rPr>
          <w:rFonts w:ascii="Verdana" w:eastAsia="Times New Roman" w:hAnsi="Verdana"/>
        </w:rPr>
        <w:tab/>
      </w:r>
      <w:r w:rsidRPr="002E1BD1">
        <w:rPr>
          <w:rFonts w:ascii="Verdana" w:eastAsia="Times New Roman" w:hAnsi="Verdana"/>
        </w:rPr>
        <w:tab/>
      </w:r>
      <w:r w:rsidRPr="002E1BD1">
        <w:rPr>
          <w:rFonts w:ascii="Verdana" w:eastAsia="Times New Roman" w:hAnsi="Verdana"/>
        </w:rPr>
        <w:tab/>
      </w:r>
      <w:r w:rsidRPr="002E1BD1">
        <w:rPr>
          <w:rFonts w:ascii="Verdana" w:eastAsia="Times New Roman" w:hAnsi="Verdana"/>
        </w:rPr>
        <w:tab/>
      </w: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  <w:r w:rsidRPr="002E1BD1">
        <w:rPr>
          <w:rFonts w:ascii="Verdana" w:eastAsia="Verdana" w:hAnsi="Verdana"/>
        </w:rPr>
        <w:t>kde</w:t>
      </w: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</w:p>
    <w:p w:rsidR="00A66016" w:rsidRPr="002E1BD1" w:rsidRDefault="00A66016" w:rsidP="00A66016">
      <w:pPr>
        <w:tabs>
          <w:tab w:val="left" w:pos="567"/>
        </w:tabs>
        <w:spacing w:after="0"/>
        <w:rPr>
          <w:rFonts w:ascii="Verdana" w:eastAsia="Verdana" w:hAnsi="Verdana"/>
        </w:rPr>
      </w:pPr>
      <w:proofErr w:type="gramStart"/>
      <w:r w:rsidRPr="002E1BD1">
        <w:rPr>
          <w:rFonts w:ascii="Verdana" w:eastAsia="Verdana" w:hAnsi="Verdana"/>
          <w:i/>
        </w:rPr>
        <w:t>T</w:t>
      </w:r>
      <w:r w:rsidRPr="002E1BD1">
        <w:rPr>
          <w:rFonts w:ascii="Verdana" w:eastAsia="Verdana" w:hAnsi="Verdana"/>
        </w:rPr>
        <w:t xml:space="preserve">  je</w:t>
      </w:r>
      <w:proofErr w:type="gramEnd"/>
      <w:r w:rsidRPr="002E1BD1">
        <w:rPr>
          <w:rFonts w:ascii="Verdana" w:eastAsia="Verdana" w:hAnsi="Verdana"/>
        </w:rPr>
        <w:t xml:space="preserve"> </w:t>
      </w:r>
      <w:r w:rsidRPr="002E1BD1">
        <w:rPr>
          <w:rFonts w:ascii="Verdana" w:eastAsia="Verdana" w:hAnsi="Verdana"/>
        </w:rPr>
        <w:tab/>
        <w:t>celkový č</w:t>
      </w:r>
      <w:r>
        <w:rPr>
          <w:rFonts w:ascii="Verdana" w:eastAsia="Verdana" w:hAnsi="Verdana"/>
        </w:rPr>
        <w:t>as sledované časové periody (denní a noční doba) [s]</w:t>
      </w:r>
      <w:r w:rsidRPr="002E1BD1">
        <w:rPr>
          <w:rFonts w:ascii="Verdana" w:eastAsia="Verdana" w:hAnsi="Verdana"/>
        </w:rPr>
        <w:t>,</w:t>
      </w:r>
    </w:p>
    <w:p w:rsidR="00A66016" w:rsidRPr="002E1BD1" w:rsidRDefault="00A66016" w:rsidP="00A66016">
      <w:pPr>
        <w:tabs>
          <w:tab w:val="left" w:pos="567"/>
        </w:tabs>
        <w:spacing w:after="0"/>
        <w:rPr>
          <w:rFonts w:ascii="Verdana" w:eastAsia="Verdana" w:hAnsi="Verdana"/>
        </w:rPr>
      </w:pPr>
      <w:r w:rsidRPr="002E1BD1">
        <w:rPr>
          <w:rFonts w:ascii="Verdana" w:eastAsia="Verdana" w:hAnsi="Verdana"/>
          <w:i/>
        </w:rPr>
        <w:t>n</w:t>
      </w:r>
      <w:r w:rsidRPr="002E1BD1">
        <w:rPr>
          <w:rFonts w:ascii="Verdana" w:eastAsia="Verdana" w:hAnsi="Verdana"/>
          <w:i/>
          <w:vertAlign w:val="subscript"/>
        </w:rPr>
        <w:t>i</w:t>
      </w:r>
      <w:r w:rsidRPr="002E1BD1">
        <w:rPr>
          <w:rFonts w:ascii="Verdana" w:eastAsia="Verdana" w:hAnsi="Verdana"/>
        </w:rPr>
        <w:tab/>
        <w:t>počet průjezdů každého typu vlaku za sledovanou časovou periodu,</w:t>
      </w:r>
    </w:p>
    <w:p w:rsidR="00A66016" w:rsidRPr="002E1BD1" w:rsidRDefault="00A66016" w:rsidP="00A66016">
      <w:pPr>
        <w:tabs>
          <w:tab w:val="left" w:pos="567"/>
        </w:tabs>
        <w:spacing w:after="0"/>
        <w:rPr>
          <w:rFonts w:ascii="Verdana" w:eastAsia="Verdana" w:hAnsi="Verdana"/>
        </w:rPr>
      </w:pPr>
      <w:r w:rsidRPr="002E1BD1">
        <w:rPr>
          <w:rFonts w:ascii="Verdana" w:eastAsia="Verdana" w:hAnsi="Verdana"/>
          <w:i/>
        </w:rPr>
        <w:t>N</w:t>
      </w:r>
      <w:r w:rsidRPr="002E1BD1">
        <w:rPr>
          <w:rFonts w:ascii="Verdana" w:eastAsia="Verdana" w:hAnsi="Verdana"/>
        </w:rPr>
        <w:tab/>
        <w:t>počet typů sledovaných vlaků,</w:t>
      </w:r>
    </w:p>
    <w:p w:rsidR="00A66016" w:rsidRPr="002E1BD1" w:rsidRDefault="00A66016" w:rsidP="00A66016">
      <w:pPr>
        <w:tabs>
          <w:tab w:val="left" w:pos="567"/>
        </w:tabs>
        <w:spacing w:after="0"/>
        <w:rPr>
          <w:rFonts w:ascii="Verdana" w:eastAsia="Verdana" w:hAnsi="Verdana"/>
        </w:rPr>
      </w:pPr>
      <w:proofErr w:type="spellStart"/>
      <w:r w:rsidRPr="002E1BD1">
        <w:rPr>
          <w:rFonts w:ascii="Verdana" w:eastAsia="Verdana" w:hAnsi="Verdana"/>
          <w:i/>
        </w:rPr>
        <w:t>L</w:t>
      </w:r>
      <w:r w:rsidRPr="002E1BD1">
        <w:rPr>
          <w:rFonts w:ascii="Verdana" w:eastAsia="Verdana" w:hAnsi="Verdana"/>
          <w:vertAlign w:val="subscript"/>
        </w:rPr>
        <w:t>AE</w:t>
      </w:r>
      <w:r>
        <w:rPr>
          <w:rFonts w:ascii="Verdana" w:eastAsia="Verdana" w:hAnsi="Verdana"/>
          <w:vertAlign w:val="subscript"/>
        </w:rPr>
        <w:t>,</w:t>
      </w:r>
      <w:r w:rsidRPr="002E1BD1">
        <w:rPr>
          <w:rFonts w:ascii="Verdana" w:eastAsia="Verdana" w:hAnsi="Verdana"/>
          <w:vertAlign w:val="subscript"/>
        </w:rPr>
        <w:t>i</w:t>
      </w:r>
      <w:proofErr w:type="spellEnd"/>
      <w:r w:rsidRPr="002E1BD1">
        <w:rPr>
          <w:rFonts w:ascii="Verdana" w:eastAsia="Verdana" w:hAnsi="Verdana"/>
        </w:rPr>
        <w:tab/>
        <w:t>charakteristická expozice</w:t>
      </w:r>
      <w:r>
        <w:rPr>
          <w:rFonts w:ascii="Verdana" w:eastAsia="Verdana" w:hAnsi="Verdana"/>
        </w:rPr>
        <w:t xml:space="preserve"> zvuku</w:t>
      </w:r>
      <w:r w:rsidRPr="002E1BD1">
        <w:rPr>
          <w:rFonts w:ascii="Verdana" w:eastAsia="Verdana" w:hAnsi="Verdana"/>
        </w:rPr>
        <w:t xml:space="preserve"> </w:t>
      </w:r>
      <w:r w:rsidRPr="002E1BD1">
        <w:rPr>
          <w:rFonts w:ascii="Verdana" w:eastAsia="Verdana" w:hAnsi="Verdana"/>
          <w:i/>
        </w:rPr>
        <w:t>L</w:t>
      </w:r>
      <w:r w:rsidRPr="002E1BD1">
        <w:rPr>
          <w:rFonts w:ascii="Verdana" w:eastAsia="Verdana" w:hAnsi="Verdana"/>
          <w:vertAlign w:val="subscript"/>
        </w:rPr>
        <w:t>AE</w:t>
      </w:r>
      <w:r w:rsidRPr="002E1BD1">
        <w:rPr>
          <w:rFonts w:ascii="Verdana" w:eastAsia="Verdana" w:hAnsi="Verdana"/>
        </w:rPr>
        <w:t xml:space="preserve"> [dB] každého typu vlaku.</w:t>
      </w: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  <w:r w:rsidRPr="002E1BD1">
        <w:rPr>
          <w:rFonts w:ascii="Verdana" w:eastAsia="Verdana" w:hAnsi="Verdana"/>
        </w:rPr>
        <w:t xml:space="preserve">V souladu s požadavky normy ČSN ISO 1996-2 by mělo měření zahrnovat hluk průjezdu nejméně 20 vlaků (míněno za trať jako celek, tedy celkem za oba jízdní směry). Každá kategorie vlaku (nebo každý provozní režim vlaku), která </w:t>
      </w:r>
      <w:r>
        <w:rPr>
          <w:rFonts w:ascii="Verdana" w:eastAsia="Verdana" w:hAnsi="Verdana"/>
        </w:rPr>
        <w:t>potenciálně významně přispívá k </w:t>
      </w:r>
      <w:r w:rsidRPr="002E1BD1">
        <w:rPr>
          <w:rFonts w:ascii="Verdana" w:eastAsia="Verdana" w:hAnsi="Verdana"/>
        </w:rPr>
        <w:t xml:space="preserve">celkové </w:t>
      </w:r>
      <w:proofErr w:type="spellStart"/>
      <w:proofErr w:type="gramStart"/>
      <w:r w:rsidRPr="002E1BD1">
        <w:rPr>
          <w:rFonts w:ascii="Verdana" w:eastAsia="Verdana" w:hAnsi="Verdana"/>
          <w:i/>
        </w:rPr>
        <w:t>L</w:t>
      </w:r>
      <w:r w:rsidRPr="002E1BD1">
        <w:rPr>
          <w:rFonts w:ascii="Verdana" w:eastAsia="Verdana" w:hAnsi="Verdana"/>
          <w:i/>
          <w:vertAlign w:val="subscript"/>
        </w:rPr>
        <w:t>Aeq,T</w:t>
      </w:r>
      <w:proofErr w:type="spellEnd"/>
      <w:r w:rsidRPr="002E1BD1">
        <w:rPr>
          <w:rFonts w:ascii="Verdana" w:eastAsia="Verdana" w:hAnsi="Verdana"/>
          <w:vertAlign w:val="subscript"/>
        </w:rPr>
        <w:t xml:space="preserve"> </w:t>
      </w:r>
      <w:r w:rsidRPr="00587803">
        <w:rPr>
          <w:rFonts w:ascii="Verdana" w:eastAsia="Verdana" w:hAnsi="Verdana"/>
          <w:vertAlign w:val="subscript"/>
        </w:rPr>
        <w:t xml:space="preserve"> </w:t>
      </w:r>
      <w:r w:rsidRPr="002E1BD1">
        <w:rPr>
          <w:rFonts w:ascii="Verdana" w:eastAsia="Verdana" w:hAnsi="Verdana"/>
        </w:rPr>
        <w:t>musí</w:t>
      </w:r>
      <w:proofErr w:type="gramEnd"/>
      <w:r w:rsidRPr="002E1BD1">
        <w:rPr>
          <w:rFonts w:ascii="Verdana" w:eastAsia="Verdana" w:hAnsi="Verdana"/>
        </w:rPr>
        <w:t xml:space="preserve"> být zastoupena měřením nejméně </w:t>
      </w:r>
      <w:r>
        <w:rPr>
          <w:rFonts w:ascii="Verdana" w:eastAsia="Verdana" w:hAnsi="Verdana"/>
        </w:rPr>
        <w:t>5</w:t>
      </w:r>
      <w:r w:rsidRPr="002E1BD1">
        <w:rPr>
          <w:rFonts w:ascii="Verdana" w:eastAsia="Verdana" w:hAnsi="Verdana"/>
        </w:rPr>
        <w:t xml:space="preserve"> průjezdy. </w:t>
      </w:r>
      <w:r>
        <w:rPr>
          <w:rFonts w:ascii="Verdana" w:eastAsia="Verdana" w:hAnsi="Verdana"/>
        </w:rPr>
        <w:t xml:space="preserve"> V odůvodněných případech (např. malá průjezdnost daného typu vlaku) může být provedeno náměrů méně.</w:t>
      </w:r>
    </w:p>
    <w:p w:rsidR="00A66016" w:rsidRDefault="00A66016" w:rsidP="00A66016">
      <w:pPr>
        <w:spacing w:after="0"/>
        <w:rPr>
          <w:rFonts w:ascii="Verdana" w:eastAsia="Verdana" w:hAnsi="Verdana" w:cs="Arial"/>
        </w:rPr>
      </w:pPr>
    </w:p>
    <w:p w:rsidR="00A66016" w:rsidRPr="002E1BD1" w:rsidRDefault="00A66016" w:rsidP="00A66016">
      <w:pPr>
        <w:spacing w:after="0"/>
        <w:rPr>
          <w:rFonts w:ascii="Verdana" w:eastAsia="Verdana" w:hAnsi="Verdana" w:cs="Arial"/>
        </w:rPr>
      </w:pPr>
      <w:r w:rsidRPr="002E1BD1">
        <w:rPr>
          <w:rFonts w:ascii="Verdana" w:eastAsia="Verdana" w:hAnsi="Verdana" w:cs="Arial"/>
        </w:rPr>
        <w:t>Doporučené kategorie vlaků</w:t>
      </w:r>
      <w:r>
        <w:rPr>
          <w:rFonts w:ascii="Verdana" w:eastAsia="Verdana" w:hAnsi="Verdana" w:cs="Arial"/>
        </w:rPr>
        <w:t>:</w:t>
      </w:r>
      <w:r w:rsidRPr="002E1BD1">
        <w:rPr>
          <w:rFonts w:ascii="Verdana" w:eastAsia="Verdana" w:hAnsi="Verdana" w:cs="Arial"/>
        </w:rPr>
        <w:t xml:space="preserve"> rychlík (R), osobní vlak (O), nákladní vlak (N), ostatní (lokomotivní vlak, </w:t>
      </w:r>
      <w:r>
        <w:rPr>
          <w:rFonts w:ascii="Verdana" w:eastAsia="Verdana" w:hAnsi="Verdana" w:cs="Arial"/>
        </w:rPr>
        <w:t>služební</w:t>
      </w:r>
      <w:r w:rsidRPr="002E1BD1">
        <w:rPr>
          <w:rFonts w:ascii="Verdana" w:eastAsia="Verdana" w:hAnsi="Verdana" w:cs="Arial"/>
        </w:rPr>
        <w:t xml:space="preserve"> apod.) </w:t>
      </w:r>
      <w:r>
        <w:rPr>
          <w:rFonts w:ascii="Verdana" w:eastAsia="Verdana" w:hAnsi="Verdana" w:cs="Arial"/>
        </w:rPr>
        <w:t>s rozlišením</w:t>
      </w:r>
      <w:r w:rsidRPr="002E1BD1">
        <w:rPr>
          <w:rFonts w:ascii="Verdana" w:eastAsia="Verdana" w:hAnsi="Verdana" w:cs="Arial"/>
        </w:rPr>
        <w:t xml:space="preserve"> závisl</w:t>
      </w:r>
      <w:r>
        <w:rPr>
          <w:rFonts w:ascii="Verdana" w:eastAsia="Verdana" w:hAnsi="Verdana" w:cs="Arial"/>
        </w:rPr>
        <w:t>é</w:t>
      </w:r>
      <w:r w:rsidRPr="002E1BD1">
        <w:rPr>
          <w:rFonts w:ascii="Verdana" w:eastAsia="Verdana" w:hAnsi="Verdana" w:cs="Arial"/>
        </w:rPr>
        <w:t xml:space="preserve"> </w:t>
      </w:r>
      <w:r>
        <w:rPr>
          <w:rFonts w:ascii="Verdana" w:eastAsia="Verdana" w:hAnsi="Verdana" w:cs="Arial"/>
        </w:rPr>
        <w:t>a</w:t>
      </w:r>
      <w:r w:rsidRPr="002E1BD1">
        <w:rPr>
          <w:rFonts w:ascii="Verdana" w:eastAsia="Verdana" w:hAnsi="Verdana" w:cs="Arial"/>
        </w:rPr>
        <w:t xml:space="preserve"> nezávisl</w:t>
      </w:r>
      <w:r>
        <w:rPr>
          <w:rFonts w:ascii="Verdana" w:eastAsia="Verdana" w:hAnsi="Verdana" w:cs="Arial"/>
        </w:rPr>
        <w:t>é trakce, konstrukčního řešení apod</w:t>
      </w:r>
      <w:r w:rsidRPr="002E1BD1">
        <w:rPr>
          <w:rFonts w:ascii="Verdana" w:eastAsia="Verdana" w:hAnsi="Verdana" w:cs="Arial"/>
        </w:rPr>
        <w:t>.</w:t>
      </w:r>
    </w:p>
    <w:p w:rsidR="00A66016" w:rsidRDefault="00A66016" w:rsidP="00A66016">
      <w:pPr>
        <w:spacing w:after="0"/>
        <w:rPr>
          <w:rFonts w:ascii="Verdana" w:eastAsia="Verdana" w:hAnsi="Verdana"/>
        </w:rPr>
      </w:pPr>
    </w:p>
    <w:p w:rsidR="00A66016" w:rsidRDefault="00A66016" w:rsidP="00A66016">
      <w:pPr>
        <w:spacing w:after="0"/>
        <w:rPr>
          <w:rFonts w:ascii="Verdana" w:eastAsia="Verdana" w:hAnsi="Verdana"/>
        </w:rPr>
      </w:pPr>
      <w:r w:rsidRPr="002E1BD1">
        <w:rPr>
          <w:rFonts w:ascii="Verdana" w:eastAsia="Verdana" w:hAnsi="Verdana"/>
        </w:rPr>
        <w:t xml:space="preserve">Mikrofon se přednostně umisťuje do takové výšky nad okolním terénem, která odpovídá </w:t>
      </w:r>
      <w:r>
        <w:rPr>
          <w:rFonts w:ascii="Verdana" w:eastAsia="Verdana" w:hAnsi="Verdana"/>
        </w:rPr>
        <w:t>výšce 1,5 </w:t>
      </w:r>
      <w:r w:rsidRPr="002E1BD1">
        <w:rPr>
          <w:rFonts w:ascii="Verdana" w:eastAsia="Verdana" w:hAnsi="Verdana"/>
        </w:rPr>
        <w:t xml:space="preserve">m nad úrovní podlahy </w:t>
      </w:r>
      <w:r>
        <w:rPr>
          <w:rFonts w:ascii="Verdana" w:eastAsia="Verdana" w:hAnsi="Verdana"/>
        </w:rPr>
        <w:t>nejexponovanějšího</w:t>
      </w:r>
      <w:r w:rsidRPr="002E1BD1">
        <w:rPr>
          <w:rFonts w:ascii="Verdana" w:eastAsia="Verdana" w:hAnsi="Verdana"/>
        </w:rPr>
        <w:t xml:space="preserve"> podlaží stavby</w:t>
      </w:r>
      <w:r>
        <w:rPr>
          <w:rFonts w:ascii="Verdana" w:eastAsia="Verdana" w:hAnsi="Verdana"/>
        </w:rPr>
        <w:t xml:space="preserve"> (zpravidla podlaží nejvyšší)</w:t>
      </w:r>
      <w:r w:rsidRPr="002E1BD1">
        <w:rPr>
          <w:rFonts w:ascii="Verdana" w:eastAsia="Verdana" w:hAnsi="Verdana"/>
        </w:rPr>
        <w:t xml:space="preserve">. Mikrofon se umisťuje do osy hlukem ze železniční dopravy nejvíce zasaženého okna, za kterým je chráněná místnost sledované stavby. </w:t>
      </w:r>
    </w:p>
    <w:p w:rsidR="00A66016" w:rsidRPr="002E1BD1" w:rsidRDefault="00A66016" w:rsidP="00A66016">
      <w:pPr>
        <w:spacing w:after="0"/>
        <w:rPr>
          <w:rFonts w:ascii="Verdana" w:eastAsia="Verdana" w:hAnsi="Verdana"/>
        </w:rPr>
      </w:pPr>
    </w:p>
    <w:p w:rsidR="00A66016" w:rsidRPr="004A7144" w:rsidRDefault="00A66016" w:rsidP="00A66016">
      <w:pPr>
        <w:pStyle w:val="Podnadpis"/>
        <w:rPr>
          <w:rStyle w:val="Zdraznn"/>
        </w:rPr>
      </w:pPr>
      <w:r w:rsidRPr="004A7144">
        <w:rPr>
          <w:rStyle w:val="Zdraznn"/>
        </w:rPr>
        <w:t>Podklady nezbytné pro hlukové posouzení</w:t>
      </w:r>
    </w:p>
    <w:p w:rsidR="00A66016" w:rsidRPr="002E1BD1" w:rsidRDefault="00A66016" w:rsidP="00A66016">
      <w:pPr>
        <w:spacing w:after="0"/>
        <w:rPr>
          <w:rFonts w:ascii="Verdana" w:eastAsia="Verdana" w:hAnsi="Verdana" w:cs="Arial"/>
          <w:iCs/>
          <w:color w:val="000000"/>
        </w:rPr>
      </w:pPr>
      <w:r w:rsidRPr="002E1BD1">
        <w:rPr>
          <w:rFonts w:ascii="Verdana" w:eastAsia="Verdana" w:hAnsi="Verdana" w:cs="Arial"/>
          <w:iCs/>
          <w:color w:val="000000"/>
        </w:rPr>
        <w:t xml:space="preserve">Jako podklad ke zpracování hlukového posouzení slouží údaje o stávající a výhledové intenzitě železniční dopravy v dotčeném úseku </w:t>
      </w:r>
      <w:r>
        <w:rPr>
          <w:rFonts w:ascii="Verdana" w:eastAsia="Verdana" w:hAnsi="Verdana" w:cs="Arial"/>
          <w:iCs/>
          <w:color w:val="000000"/>
        </w:rPr>
        <w:t>dráhy</w:t>
      </w:r>
      <w:r w:rsidRPr="002E1BD1">
        <w:rPr>
          <w:rFonts w:ascii="Verdana" w:eastAsia="Verdana" w:hAnsi="Verdana" w:cs="Arial"/>
          <w:iCs/>
          <w:color w:val="000000"/>
        </w:rPr>
        <w:t xml:space="preserve">. Tyto informace získáte na základě žádosti zaslané </w:t>
      </w:r>
      <w:r w:rsidRPr="002E1BD1">
        <w:rPr>
          <w:rFonts w:ascii="Verdana" w:eastAsia="Verdana" w:hAnsi="Verdana" w:cs="Arial"/>
          <w:b/>
          <w:bCs/>
          <w:iCs/>
          <w:color w:val="000000"/>
        </w:rPr>
        <w:t>prostřednictvím e-mailu</w:t>
      </w:r>
      <w:r w:rsidRPr="002E1BD1">
        <w:rPr>
          <w:rFonts w:ascii="Verdana" w:eastAsia="Verdana" w:hAnsi="Verdana" w:cs="Arial"/>
          <w:iCs/>
          <w:color w:val="000000"/>
        </w:rPr>
        <w:t xml:space="preserve"> na Odbor smluvních vztahů Generálního ředitelství </w:t>
      </w:r>
      <w:r w:rsidRPr="0079099C">
        <w:rPr>
          <w:rFonts w:ascii="Verdana" w:eastAsia="Verdana" w:hAnsi="Verdana" w:cs="Arial"/>
          <w:iCs/>
          <w:color w:val="000000"/>
        </w:rPr>
        <w:t>Správy železnic, státní organizace</w:t>
      </w:r>
      <w:r w:rsidRPr="002E1BD1">
        <w:rPr>
          <w:rFonts w:ascii="Verdana" w:eastAsia="Verdana" w:hAnsi="Verdana" w:cs="Arial"/>
          <w:iCs/>
          <w:color w:val="000000"/>
        </w:rPr>
        <w:t xml:space="preserve"> (kontakt: JUDr. Hana Honzáková, e</w:t>
      </w:r>
      <w:r w:rsidRPr="002E1BD1">
        <w:rPr>
          <w:rFonts w:ascii="Verdana" w:eastAsia="Verdana" w:hAnsi="Verdana" w:cs="Arial"/>
          <w:iCs/>
          <w:color w:val="000000"/>
        </w:rPr>
        <w:noBreakHyphen/>
        <w:t xml:space="preserve">mail: </w:t>
      </w:r>
      <w:hyperlink r:id="rId14" w:history="1">
        <w:r w:rsidRPr="00DD5DAB">
          <w:rPr>
            <w:rStyle w:val="Hypertextovodkaz"/>
            <w:rFonts w:ascii="Verdana" w:eastAsia="Verdana" w:hAnsi="Verdana" w:cs="Arial"/>
            <w:iCs/>
            <w:color w:val="auto"/>
          </w:rPr>
          <w:t>honzakova@spravazeleznic.cz</w:t>
        </w:r>
      </w:hyperlink>
      <w:r w:rsidRPr="00DD5DAB">
        <w:rPr>
          <w:rFonts w:ascii="Verdana" w:eastAsia="Verdana" w:hAnsi="Verdana" w:cs="Arial"/>
          <w:iCs/>
        </w:rPr>
        <w:t xml:space="preserve">). </w:t>
      </w:r>
      <w:r w:rsidRPr="002E1BD1">
        <w:rPr>
          <w:rFonts w:ascii="Verdana" w:eastAsia="Verdana" w:hAnsi="Verdana" w:cs="Arial"/>
          <w:iCs/>
          <w:color w:val="000000"/>
        </w:rPr>
        <w:t xml:space="preserve">Údaje jsou poskytovány bezúplatně. </w:t>
      </w:r>
      <w:r>
        <w:rPr>
          <w:rFonts w:ascii="Verdana" w:eastAsia="Verdana" w:hAnsi="Verdana" w:cs="Arial"/>
          <w:iCs/>
          <w:color w:val="000000"/>
        </w:rPr>
        <w:t>V žádosti o poskytnutí intenzit dopravy uveďte:</w:t>
      </w:r>
    </w:p>
    <w:p w:rsidR="00A66016" w:rsidRPr="002E1BD1" w:rsidRDefault="00A66016" w:rsidP="00A66016">
      <w:pPr>
        <w:numPr>
          <w:ilvl w:val="0"/>
          <w:numId w:val="34"/>
        </w:numPr>
        <w:autoSpaceDN w:val="0"/>
        <w:spacing w:after="0"/>
        <w:ind w:left="567" w:hanging="283"/>
        <w:rPr>
          <w:rFonts w:ascii="Verdana" w:eastAsia="Verdana" w:hAnsi="Verdana" w:cs="Arial"/>
          <w:iCs/>
          <w:color w:val="000000"/>
        </w:rPr>
      </w:pPr>
      <w:r w:rsidRPr="002E1BD1">
        <w:rPr>
          <w:rFonts w:ascii="Verdana" w:eastAsia="Verdana" w:hAnsi="Verdana" w:cs="Arial"/>
          <w:iCs/>
          <w:color w:val="000000"/>
        </w:rPr>
        <w:t>informace o zájmovém území (situace</w:t>
      </w:r>
      <w:r>
        <w:rPr>
          <w:rFonts w:ascii="Verdana" w:eastAsia="Verdana" w:hAnsi="Verdana" w:cs="Arial"/>
          <w:iCs/>
          <w:color w:val="000000"/>
        </w:rPr>
        <w:t xml:space="preserve"> širších vztahů</w:t>
      </w:r>
      <w:r w:rsidRPr="002E1BD1">
        <w:rPr>
          <w:rFonts w:ascii="Verdana" w:eastAsia="Verdana" w:hAnsi="Verdana" w:cs="Arial"/>
          <w:iCs/>
          <w:color w:val="000000"/>
        </w:rPr>
        <w:t>, katastrální území, trať),</w:t>
      </w:r>
    </w:p>
    <w:p w:rsidR="00A66016" w:rsidRPr="002E1BD1" w:rsidRDefault="00A66016" w:rsidP="00A66016">
      <w:pPr>
        <w:numPr>
          <w:ilvl w:val="0"/>
          <w:numId w:val="34"/>
        </w:numPr>
        <w:autoSpaceDN w:val="0"/>
        <w:spacing w:after="0"/>
        <w:ind w:left="567" w:hanging="283"/>
        <w:rPr>
          <w:rFonts w:ascii="Verdana" w:eastAsia="Verdana" w:hAnsi="Verdana" w:cs="Arial"/>
          <w:iCs/>
          <w:color w:val="000000"/>
          <w:u w:val="single"/>
        </w:rPr>
      </w:pPr>
      <w:r w:rsidRPr="002E1BD1">
        <w:rPr>
          <w:rFonts w:ascii="Verdana" w:eastAsia="Verdana" w:hAnsi="Verdana" w:cs="Arial"/>
          <w:iCs/>
          <w:color w:val="000000"/>
        </w:rPr>
        <w:t>požadavek na poskytnutí počt</w:t>
      </w:r>
      <w:r>
        <w:rPr>
          <w:rFonts w:ascii="Verdana" w:eastAsia="Verdana" w:hAnsi="Verdana" w:cs="Arial"/>
          <w:iCs/>
          <w:color w:val="000000"/>
        </w:rPr>
        <w:t>u</w:t>
      </w:r>
      <w:r w:rsidRPr="002E1BD1">
        <w:rPr>
          <w:rFonts w:ascii="Verdana" w:eastAsia="Verdana" w:hAnsi="Verdana" w:cs="Arial"/>
          <w:iCs/>
          <w:color w:val="000000"/>
        </w:rPr>
        <w:t xml:space="preserve"> vlaků v denní a noční době s r</w:t>
      </w:r>
      <w:r>
        <w:rPr>
          <w:rFonts w:ascii="Verdana" w:eastAsia="Verdana" w:hAnsi="Verdana" w:cs="Arial"/>
          <w:iCs/>
          <w:color w:val="000000"/>
        </w:rPr>
        <w:t>ozdělením dle kategorií vlaků a </w:t>
      </w:r>
      <w:r w:rsidRPr="002E1BD1">
        <w:rPr>
          <w:rFonts w:ascii="Verdana" w:eastAsia="Verdana" w:hAnsi="Verdana" w:cs="Arial"/>
          <w:iCs/>
          <w:color w:val="000000"/>
        </w:rPr>
        <w:t xml:space="preserve">druhu hnacího vozidla – </w:t>
      </w:r>
      <w:r w:rsidRPr="002E1BD1">
        <w:rPr>
          <w:rFonts w:ascii="Verdana" w:eastAsia="Verdana" w:hAnsi="Verdana" w:cs="Arial"/>
          <w:b/>
          <w:iCs/>
          <w:color w:val="000000"/>
        </w:rPr>
        <w:t>vše pro stávající i výhledovou intenzitu železniční dopravy,</w:t>
      </w:r>
      <w:r>
        <w:rPr>
          <w:rFonts w:ascii="Verdana" w:eastAsia="Verdana" w:hAnsi="Verdana" w:cs="Arial"/>
          <w:iCs/>
          <w:color w:val="000000"/>
          <w:u w:val="single"/>
        </w:rPr>
        <w:t xml:space="preserve"> </w:t>
      </w:r>
    </w:p>
    <w:p w:rsidR="00A66016" w:rsidRPr="002E1BD1" w:rsidRDefault="00A66016" w:rsidP="00A66016">
      <w:pPr>
        <w:numPr>
          <w:ilvl w:val="0"/>
          <w:numId w:val="34"/>
        </w:numPr>
        <w:autoSpaceDE w:val="0"/>
        <w:autoSpaceDN w:val="0"/>
        <w:spacing w:after="0"/>
        <w:ind w:left="567" w:hanging="283"/>
        <w:rPr>
          <w:rFonts w:ascii="Verdana" w:eastAsia="Times New Roman" w:hAnsi="Verdana" w:cs="Arial"/>
          <w:color w:val="000000"/>
        </w:rPr>
      </w:pPr>
      <w:r w:rsidRPr="002E1BD1">
        <w:rPr>
          <w:rFonts w:ascii="Verdana" w:eastAsia="Times New Roman" w:hAnsi="Verdana" w:cs="Arial"/>
          <w:iCs/>
          <w:color w:val="000000"/>
        </w:rPr>
        <w:t>identifikační údaje žadatele.</w:t>
      </w:r>
      <w:r w:rsidRPr="00FB2A2D">
        <w:rPr>
          <w:rFonts w:ascii="Verdana" w:eastAsia="Verdana" w:hAnsi="Verdana" w:cs="Arial"/>
          <w:color w:val="000000"/>
        </w:rPr>
        <w:t xml:space="preserve">    </w:t>
      </w:r>
    </w:p>
    <w:p w:rsidR="00A66016" w:rsidRDefault="00A66016" w:rsidP="00A66016"/>
    <w:sectPr w:rsidR="00A66016" w:rsidSect="00FC638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0B" w:rsidRDefault="00103C0B" w:rsidP="00962258">
      <w:pPr>
        <w:spacing w:after="0" w:line="240" w:lineRule="auto"/>
      </w:pPr>
      <w:r>
        <w:separator/>
      </w:r>
    </w:p>
  </w:endnote>
  <w:endnote w:type="continuationSeparator" w:id="0">
    <w:p w:rsidR="00103C0B" w:rsidRDefault="00103C0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B325C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B325C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3AF94F4" wp14:editId="71F2345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6E41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57F6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B325C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B325C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921" w:type="dxa"/>
        </w:tcPr>
        <w:p w:rsidR="00F1715C" w:rsidRDefault="00F1715C" w:rsidP="00460660">
          <w:pPr>
            <w:pStyle w:val="Zpat"/>
          </w:pP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63FF4E" wp14:editId="6746177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CC690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6FE4E87" wp14:editId="651749E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267568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0B" w:rsidRDefault="00103C0B" w:rsidP="00962258">
      <w:pPr>
        <w:spacing w:after="0" w:line="240" w:lineRule="auto"/>
      </w:pPr>
      <w:r>
        <w:separator/>
      </w:r>
    </w:p>
  </w:footnote>
  <w:footnote w:type="continuationSeparator" w:id="0">
    <w:p w:rsidR="00103C0B" w:rsidRDefault="00103C0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D6163D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F1715C" w:rsidRPr="00D6163D" w:rsidRDefault="00F1715C" w:rsidP="00FC6389">
          <w:pPr>
            <w:pStyle w:val="Druhdokumentu"/>
          </w:pPr>
        </w:p>
      </w:tc>
    </w:tr>
    <w:tr w:rsidR="009F392E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9F392E" w:rsidRPr="00D6163D" w:rsidRDefault="009F392E" w:rsidP="00FC6389">
          <w:pPr>
            <w:pStyle w:val="Druhdokumentu"/>
          </w:pPr>
        </w:p>
      </w:tc>
    </w:tr>
  </w:tbl>
  <w:p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2ED8400B"/>
    <w:multiLevelType w:val="hybridMultilevel"/>
    <w:tmpl w:val="7DCC9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9"/>
  </w:num>
  <w:num w:numId="17">
    <w:abstractNumId w:val="2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9"/>
  </w:num>
  <w:num w:numId="29">
    <w:abstractNumId w:val="2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16"/>
    <w:rsid w:val="00072C1E"/>
    <w:rsid w:val="000E23A7"/>
    <w:rsid w:val="00103C0B"/>
    <w:rsid w:val="0010693F"/>
    <w:rsid w:val="00114472"/>
    <w:rsid w:val="001550BC"/>
    <w:rsid w:val="001605B9"/>
    <w:rsid w:val="00170EC5"/>
    <w:rsid w:val="001747C1"/>
    <w:rsid w:val="00184743"/>
    <w:rsid w:val="00207BD8"/>
    <w:rsid w:val="00207DF5"/>
    <w:rsid w:val="00280E07"/>
    <w:rsid w:val="002C31BF"/>
    <w:rsid w:val="002D08B1"/>
    <w:rsid w:val="002E0CD7"/>
    <w:rsid w:val="00341DCF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D4598"/>
    <w:rsid w:val="005F1404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A1EB8"/>
    <w:rsid w:val="007B570C"/>
    <w:rsid w:val="007C589B"/>
    <w:rsid w:val="007E4A6E"/>
    <w:rsid w:val="007F56A7"/>
    <w:rsid w:val="00807DD0"/>
    <w:rsid w:val="0083460C"/>
    <w:rsid w:val="008659F3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016"/>
    <w:rsid w:val="00A66136"/>
    <w:rsid w:val="00AA4CBB"/>
    <w:rsid w:val="00AA65FA"/>
    <w:rsid w:val="00AA7351"/>
    <w:rsid w:val="00AD056F"/>
    <w:rsid w:val="00AD6731"/>
    <w:rsid w:val="00B15D0D"/>
    <w:rsid w:val="00B325C7"/>
    <w:rsid w:val="00B75EE1"/>
    <w:rsid w:val="00B77481"/>
    <w:rsid w:val="00B8518B"/>
    <w:rsid w:val="00BD7E91"/>
    <w:rsid w:val="00C02D0A"/>
    <w:rsid w:val="00C03A6E"/>
    <w:rsid w:val="00C14847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6743"/>
  <w14:defaultImageDpi w14:val="32767"/>
  <w15:docId w15:val="{75D8E4C7-8D7C-40AC-B493-2620254F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oportal.mzcr.cz/SH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voz.szdc.cz/PORTAL/ViewArticle.aspx?oid=59459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nzakova@spravazelezni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pla\AppData\Local\Packages\Microsoft.MicrosoftEdge_8wekyb3d8bbwe\TempState\Downloads\sprava-zeleznic_hlavickovy-papir_v8_BEZ%20ZAPATI%20(1)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D985-D74E-4D78-B3FE-92970A9A3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DFA60-EE1E-4F20-9981-5485AB44F049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0A2F02-CA43-45FE-820C-199CF18E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5B62D8-6CE0-4FDD-B814-ECB82EB6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sprava-zeleznic_hlavickovy-papir_v8_BEZ ZAPATI (1).dotx</Template>
  <TotalTime>5</TotalTime>
  <Pages>2</Pages>
  <Words>817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Teplá Šárka, Ing.</dc:creator>
  <cp:lastModifiedBy>Kuna Ivan, Ing.</cp:lastModifiedBy>
  <cp:revision>4</cp:revision>
  <cp:lastPrinted>2017-11-28T17:18:00Z</cp:lastPrinted>
  <dcterms:created xsi:type="dcterms:W3CDTF">2020-08-21T07:46:00Z</dcterms:created>
  <dcterms:modified xsi:type="dcterms:W3CDTF">2020-09-01T10:14:00Z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